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057400" cy="10114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rc-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1145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  <w:jc w:val="center"/>
      </w:pPr>
      <w:r>
        <w:t>Sun Auto Parallel Trial</w:t>
        <w:br/>
        <w:t>Client Input Resolution Brief</w:t>
      </w:r>
    </w:p>
    <w:p>
      <w:pPr>
        <w:jc w:val="center"/>
      </w:pPr>
      <w:r>
        <w:rPr>
          <w:rFonts w:ascii="Calibri" w:hAnsi="Calibri"/>
          <w:color w:val="CBA238"/>
          <w:sz w:val="22"/>
        </w:rPr>
        <w:t>Approved beta defaults for the Sun Auto trial package</w:t>
        <w:br/>
        <w:t>July 21, 2026</w:t>
      </w:r>
    </w:p>
    <w:p>
      <w:pPr>
        <w:pStyle w:val="Subtitle"/>
        <w:jc w:val="center"/>
      </w:pPr>
      <w:r>
        <w:t>Prepared by Pierce Ridge Capital</w:t>
      </w:r>
    </w:p>
    <w:p>
      <w:r>
        <w:br w:type="page"/>
      </w:r>
    </w:p>
    <w:p>
      <w:pPr>
        <w:pStyle w:val="Heading1"/>
      </w:pPr>
      <w:r>
        <w:t>Executive decision</w:t>
      </w:r>
    </w:p>
    <w:p>
      <w:r>
        <w:t>Pierce Ridge can close most of the Pending Client Inputs list without asking Sun to design the trial. We recommend a defensible first beta using 35 mapped current-store SATS anchors, three evidence-backed market clusters, the existing Sun Fit taxonomy and a fixed routing/source protocol.</w:t>
      </w:r>
    </w:p>
    <w:p>
      <w:pPr>
        <w:pStyle w:val="Heading2"/>
      </w:pPr>
      <w:r>
        <w:t>Only two Sun-owned data inputs remain</w:t>
      </w:r>
    </w:p>
    <w:p>
      <w:pPr>
        <w:pStyle w:val="ListBullet"/>
      </w:pPr>
      <w:r>
        <w:t>Provide a sample or export of the approximately 8,000-shop history file.</w:t>
      </w:r>
    </w:p>
    <w:p>
      <w:pPr>
        <w:pStyle w:val="ListBullet"/>
      </w:pPr>
      <w:r>
        <w:t>Supply approved greenfield (GF) anchors and resolve Louisville, which has no current in-city SATS anchor in the public locator.</w:t>
      </w:r>
    </w:p>
    <w:p>
      <w:pPr>
        <w:pStyle w:val="Heading1"/>
      </w:pPr>
      <w:r>
        <w:t>Resolution matrix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6"/>
        <w:gridCol w:w="2556"/>
        <w:gridCol w:w="2556"/>
        <w:gridCol w:w="2556"/>
      </w:tblGrid>
      <w:tr>
        <w:tc>
          <w:tcPr>
            <w:tcW w:type="dxa" w:w="1944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Input</w:t>
            </w:r>
          </w:p>
        </w:tc>
        <w:tc>
          <w:tcPr>
            <w:tcW w:type="dxa" w:w="1440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Resolution</w:t>
            </w:r>
          </w:p>
        </w:tc>
        <w:tc>
          <w:tcPr>
            <w:tcW w:type="dxa" w:w="4248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Approved beta treatment</w:t>
            </w:r>
          </w:p>
        </w:tc>
        <w:tc>
          <w:tcPr>
            <w:tcW w:type="dxa" w:w="2592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Still needed from Sun</w:t>
            </w:r>
          </w:p>
        </w:tc>
      </w:tr>
      <w:tr>
        <w:tc>
          <w:tcPr>
            <w:tcW w:type="dxa" w:w="1944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Exact SATS / approved GF anchor list</w:t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Partially resolved</w:t>
            </w:r>
          </w:p>
        </w:tc>
        <w:tc>
          <w:tcPr>
            <w:tcW w:type="dxa" w:w="424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Use the attached 35-location public-locator anchor file: 10 Ohio, 7 North Carolina, 15 Florida East Coast, 1 Chattanooga and 2 Nashville-area anchors.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Confirm active/included status and add approved GF anchors.</w:t>
            </w:r>
          </w:p>
        </w:tc>
      </w:tr>
      <w:tr>
        <w:tc>
          <w:tcPr>
            <w:tcW w:type="dxa" w:w="1944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Specific Ohio markets/cities</w:t>
            </w:r>
          </w:p>
        </w:tc>
        <w:tc>
          <w:tcPr>
            <w:tcW w:type="dxa" w:w="1440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Approved for trial package</w:t>
            </w:r>
          </w:p>
        </w:tc>
        <w:tc>
          <w:tcPr>
            <w:tcW w:type="dxa" w:w="424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Central Ohio / Columbus–Licking County using all 10 mapped Ohio anchors.</w:t>
            </w:r>
          </w:p>
        </w:tc>
        <w:tc>
          <w:tcPr>
            <w:tcW w:type="dxa" w:w="2592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No further approval required.</w:t>
            </w:r>
          </w:p>
        </w:tc>
      </w:tr>
      <w:tr>
        <w:tc>
          <w:tcPr>
            <w:tcW w:type="dxa" w:w="1944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Specific North Carolina markets/cities</w:t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Approved for trial package</w:t>
            </w:r>
          </w:p>
        </w:tc>
        <w:tc>
          <w:tcPr>
            <w:tcW w:type="dxa" w:w="424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Piedmont Triad: High Point, Winston-Salem, King, Liberty, Madison, Stokesdale and Summerfield.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No further approval required.</w:t>
            </w:r>
          </w:p>
        </w:tc>
      </w:tr>
      <w:tr>
        <w:tc>
          <w:tcPr>
            <w:tcW w:type="dxa" w:w="1944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Florida East Coast corridor/markets</w:t>
            </w:r>
          </w:p>
        </w:tc>
        <w:tc>
          <w:tcPr>
            <w:tcW w:type="dxa" w:w="1440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Approved for trial package</w:t>
            </w:r>
          </w:p>
        </w:tc>
        <w:tc>
          <w:tcPr>
            <w:tcW w:type="dxa" w:w="424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Northeast Florida through Volusia: Yulee/Callahan, Jacksonville, St. Johns, St. Augustine/East Palatka, Palm Coast and Ormond Beach.</w:t>
            </w:r>
          </w:p>
        </w:tc>
        <w:tc>
          <w:tcPr>
            <w:tcW w:type="dxa" w:w="2592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No further approval required.</w:t>
            </w:r>
          </w:p>
        </w:tc>
      </w:tr>
      <w:tr>
        <w:tc>
          <w:tcPr>
            <w:tcW w:type="dxa" w:w="1944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Louisville / Chattanooga / Nashville</w:t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Mostly resolved</w:t>
            </w:r>
          </w:p>
        </w:tc>
        <w:tc>
          <w:tcPr>
            <w:tcW w:type="dxa" w:w="424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Chattanooga: 3886 Hixson Pike. Nashville: Hendersonville + Murfreesboro. Louisville: hold small operators because no in-city SATS anchor appears in the locator.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Supply Louisville GF/nearby anchor or approve chain-only treatment.</w:t>
            </w:r>
          </w:p>
        </w:tc>
      </w:tr>
      <w:tr>
        <w:tc>
          <w:tcPr>
            <w:tcW w:type="dxa" w:w="1944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~8,000-shop database</w:t>
            </w:r>
          </w:p>
        </w:tc>
        <w:tc>
          <w:tcPr>
            <w:tcW w:type="dxa" w:w="1440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Blocked by access</w:t>
            </w:r>
          </w:p>
        </w:tc>
        <w:tc>
          <w:tcPr>
            <w:tcW w:type="dxa" w:w="424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Run public discovery now, but do not claim net-new, overlap, known-reject recall or database precision yet.</w:t>
            </w:r>
          </w:p>
        </w:tc>
        <w:tc>
          <w:tcPr>
            <w:tcW w:type="dxa" w:w="2592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Provide 200–500 representative rows or full export.</w:t>
            </w:r>
          </w:p>
        </w:tc>
      </w:tr>
      <w:tr>
        <w:tc>
          <w:tcPr>
            <w:tcW w:type="dxa" w:w="1944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Status taxonomy / known history</w:t>
            </w:r>
          </w:p>
        </w:tc>
        <w:tc>
          <w:tcPr>
            <w:tcW w:type="dxa" w:w="1440"/>
            <w:vAlign w:val="top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Taxonomy resolved; history partial</w:t>
            </w:r>
          </w:p>
        </w:tc>
        <w:tc>
          <w:tcPr>
            <w:tcW w:type="dxa" w:w="424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Pass; Watch / Verify; Exclude; Known / Already Reviewed; Otherwise Qualified — Used Tire Sales. Seed Lawson, Simpson and Wilson dispositions.</w:t>
            </w:r>
          </w:p>
        </w:tc>
        <w:tc>
          <w:tcPr>
            <w:tcW w:type="dxa" w:w="2592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Provide history export and reopen authority.</w:t>
            </w:r>
          </w:p>
        </w:tc>
      </w:tr>
      <w:tr>
        <w:tc>
          <w:tcPr>
            <w:tcW w:type="dxa" w:w="1944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Source / routing definitions</w:t>
            </w:r>
          </w:p>
        </w:tc>
        <w:tc>
          <w:tcPr>
            <w:tcW w:type="dxa" w:w="1440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1E3F33"/>
                <w:sz w:val="14"/>
              </w:rPr>
              <w:t>Approved for trial package</w:t>
            </w:r>
          </w:p>
        </w:tc>
        <w:tc>
          <w:tcPr>
            <w:tcW w:type="dxa" w:w="424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Use the documented source hierarchy and one frozen driving-route provider for the cohort; unknown gates remain Watch / Verify.</w:t>
            </w:r>
          </w:p>
        </w:tc>
        <w:tc>
          <w:tcPr>
            <w:tcW w:type="dxa" w:w="2592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4"/>
              </w:rPr>
              <w:t>No further approval required.</w:t>
            </w:r>
          </w:p>
        </w:tc>
      </w:tr>
    </w:tbl>
    <w:p>
      <w:r>
        <w:br w:type="page"/>
      </w:r>
    </w:p>
    <w:p>
      <w:pPr>
        <w:pStyle w:val="Heading1"/>
      </w:pPr>
      <w:r>
        <w:t>Approved beta source hierarchy</w:t>
      </w:r>
    </w:p>
    <w:p>
      <w:r>
        <w:rPr>
          <w:b/>
          <w:color w:val="1E3F33"/>
        </w:rPr>
        <w:t xml:space="preserve">1. Sun/internal or owner-provided records: </w:t>
      </w:r>
      <w:r>
        <w:t>Controlling source for history, financials, sales mix, approved anchors and exceptions.</w:t>
      </w:r>
    </w:p>
    <w:p>
      <w:r>
        <w:rPr>
          <w:b/>
          <w:color w:val="1E3F33"/>
        </w:rPr>
        <w:t xml:space="preserve">2. Authoritative public records: </w:t>
      </w:r>
      <w:r>
        <w:t>Secretary of State, county parcel/building records, DOT traffic counts and Census/demographic sources.</w:t>
      </w:r>
    </w:p>
    <w:p>
      <w:r>
        <w:rPr>
          <w:b/>
          <w:color w:val="1E3F33"/>
        </w:rPr>
        <w:t xml:space="preserve">3. Current observable evidence: </w:t>
      </w:r>
      <w:r>
        <w:t>Sun locator, company websites, Google Maps and dated Street View imagery.</w:t>
      </w:r>
    </w:p>
    <w:p>
      <w:r>
        <w:rPr>
          <w:b/>
          <w:color w:val="1E3F33"/>
        </w:rPr>
        <w:t xml:space="preserve">4. Reputable modeled/third-party data: </w:t>
      </w:r>
      <w:r>
        <w:t>Discovery and provisional scoring only unless Sun approves the source for a specific gate.</w:t>
      </w:r>
    </w:p>
    <w:p>
      <w:r>
        <w:rPr>
          <w:b/>
          <w:color w:val="1E3F33"/>
        </w:rPr>
        <w:t xml:space="preserve">5. Unverified directories or stale claims: </w:t>
      </w:r>
      <w:r>
        <w:t>Lead generation only; never sufficient to clear a hard gate.</w:t>
      </w:r>
    </w:p>
    <w:p>
      <w:r>
        <w:t>Freshness default: 12 months for ownership, imagery, services and operating status; 24 months for traffic/demographics; 36 months for parcel/building facts unless superseded. Conflicts are preserved, not overwritten.</w:t>
      </w:r>
    </w:p>
    <w:p>
      <w:pPr>
        <w:pStyle w:val="Heading1"/>
      </w:pPr>
      <w:r>
        <w:t>Approved road-distance protocol</w:t>
      </w:r>
    </w:p>
    <w:p>
      <w:pPr>
        <w:pStyle w:val="ListBullet"/>
      </w:pPr>
      <w:r>
        <w:t>Measure driving-road miles, never straight-line distance.</w:t>
      </w:r>
    </w:p>
    <w:p>
      <w:pPr>
        <w:pStyle w:val="ListBullet"/>
      </w:pPr>
      <w:r>
        <w:t>Route from the candidate’s verified service address to the selected approved SATS/GF anchor.</w:t>
      </w:r>
    </w:p>
    <w:p>
      <w:pPr>
        <w:pStyle w:val="ListBullet"/>
      </w:pPr>
      <w:r>
        <w:t>Use one provider/configuration for the full comparison cohort. Preferred beta: Google Maps Directions, normal automobile route, no live-traffic optimization. Temporary fallback: OSRM driving profile, documented consistently.</w:t>
      </w:r>
    </w:p>
    <w:p>
      <w:pPr>
        <w:pStyle w:val="ListBullet"/>
      </w:pPr>
      <w:r>
        <w:t>Save provider, query date, origin/destination, route distance and selected anchor ID.</w:t>
      </w:r>
    </w:p>
    <w:p>
      <w:pPr>
        <w:pStyle w:val="ListBullet"/>
      </w:pPr>
      <w:r>
        <w:t>Singles and small multi-units qualify at approximately 30 road miles or less. Outside-radius chains require an explicit exception.</w:t>
      </w:r>
    </w:p>
    <w:p>
      <w:pPr>
        <w:pStyle w:val="Heading1"/>
      </w:pPr>
      <w:r>
        <w:t>Initial anchor-set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08"/>
        <w:gridCol w:w="3408"/>
        <w:gridCol w:w="3408"/>
      </w:tblGrid>
      <w:tr>
        <w:tc>
          <w:tcPr>
            <w:tcW w:type="dxa" w:w="3408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Approved beta lane</w:t>
            </w:r>
          </w:p>
        </w:tc>
        <w:tc>
          <w:tcPr>
            <w:tcW w:type="dxa" w:w="3408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Anchors</w:t>
            </w:r>
          </w:p>
        </w:tc>
        <w:tc>
          <w:tcPr>
            <w:tcW w:type="dxa" w:w="3408"/>
            <w:vAlign w:val="top"/>
            <w:shd w:fill="1E3F33"/>
          </w:tcPr>
          <w:p>
            <w:r/>
            <w:r>
              <w:rPr>
                <w:rFonts w:ascii="Calibri" w:hAnsi="Calibri"/>
                <w:b/>
                <w:color w:val="FFFFFF"/>
                <w:sz w:val="16"/>
              </w:rPr>
              <w:t>Treatment</w:t>
            </w:r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Ohio — Central Ohio / Columbus–Licking County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10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Approved beta cluster</w:t>
            </w:r>
          </w:p>
        </w:tc>
      </w:tr>
      <w:tr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North Carolina — Piedmont Triad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7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Approved beta cluster</w:t>
            </w:r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Florida East Coast — Northeast Florida to Volusia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15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Approved beta corridor</w:t>
            </w:r>
          </w:p>
        </w:tc>
      </w:tr>
      <w:tr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Chattanooga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1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Confirmed in-city current-store anchor</w:t>
            </w:r>
          </w:p>
        </w:tc>
      </w:tr>
      <w:tr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Nashville broader market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2</w:t>
            </w:r>
          </w:p>
        </w:tc>
        <w:tc>
          <w:tcPr>
            <w:tcW w:type="dxa" w:w="3408"/>
            <w:vAlign w:val="top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Approved nearby anchors; route-test every candidate</w:t>
            </w:r>
          </w:p>
        </w:tc>
      </w:tr>
      <w:tr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Louisville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/>
                <w:color w:val="CBA238"/>
                <w:sz w:val="16"/>
              </w:rPr>
              <w:t>0</w:t>
            </w:r>
          </w:p>
        </w:tc>
        <w:tc>
          <w:tcPr>
            <w:tcW w:type="dxa" w:w="3408"/>
            <w:vAlign w:val="top"/>
            <w:shd w:fill="F5F5F5"/>
          </w:tcPr>
          <w:p>
            <w:r/>
            <w:r>
              <w:rPr>
                <w:rFonts w:ascii="Calibri" w:hAnsi="Calibri"/>
                <w:b w:val="0"/>
                <w:color w:val="333333"/>
                <w:sz w:val="16"/>
              </w:rPr>
              <w:t>Hold small-shop beta pending approved anchor/GF</w:t>
            </w:r>
          </w:p>
        </w:tc>
      </w:tr>
    </w:tbl>
    <w:p>
      <w:r>
        <w:t>The attached CSV and JSON contain all 35 approved anchors with stable IDs, addresses, coordinates and public source URLs. They derive from Sun Auto’s June 10, 2026 public-locator crawl of 608 deduplicated store records.</w:t>
      </w:r>
    </w:p>
    <w:p>
      <w:pPr>
        <w:pStyle w:val="Heading1"/>
      </w:pPr>
      <w:r>
        <w:t>Recommended beta rule lock</w:t>
      </w:r>
    </w:p>
    <w:p>
      <w:pPr>
        <w:pStyle w:val="ListBullet"/>
      </w:pPr>
      <w:r>
        <w:t>A confirmed gate failure excludes; an unknown does not.</w:t>
      </w:r>
    </w:p>
    <w:p>
      <w:pPr>
        <w:pStyle w:val="ListBullet"/>
      </w:pPr>
      <w:r>
        <w:t>Pass requires all critical gates to be known and passing.</w:t>
      </w:r>
    </w:p>
    <w:p>
      <w:pPr>
        <w:pStyle w:val="ListBullet"/>
      </w:pPr>
      <w:r>
        <w:t>The top 10% is calculated only among verified Pass records inside the frozen activated cohort.</w:t>
      </w:r>
    </w:p>
    <w:p>
      <w:pPr>
        <w:pStyle w:val="ListBullet"/>
      </w:pPr>
      <w:r>
        <w:t>Both teams use the same anchor set, market boundary, source window and reviewer labels.</w:t>
      </w:r>
    </w:p>
    <w:p>
      <w:pPr>
        <w:pStyle w:val="ListBullet"/>
      </w:pPr>
      <w:r>
        <w:t>Sun’s reviewer disposition is trial ground truth.</w:t>
      </w:r>
    </w:p>
    <w:p>
      <w:pPr>
        <w:pStyle w:val="Heading1"/>
      </w:pPr>
      <w:r>
        <w:t>Minimal response requested from Sun</w:t>
      </w:r>
    </w:p>
    <w:p>
      <w:pPr>
        <w:ind w:left="360" w:right="360"/>
      </w:pPr>
      <w:r>
        <w:rPr>
          <w:i/>
        </w:rPr>
        <w:t>Louisville anchor or chain-exception treatment; approved GF locations; and timing/format for a representative history export.</w:t>
      </w:r>
    </w:p>
    <w:p>
      <w:r>
        <w:t>This turns the return package into an operating proposal with defaults—not a questionnaire.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1E3F33"/>
        <w:sz w:val="16"/>
      </w:rPr>
      <w:t>Confidential — Pierce Ridge Capital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1234440" cy="60687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rc-logo-ful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60687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333333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entury Gothic" w:hAnsi="Century Gothic"/>
      <w:b/>
      <w:bCs/>
      <w:color w:val="1E3F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entury Gothic" w:hAnsi="Century Gothic"/>
      <w:b/>
      <w:bCs/>
      <w:color w:val="1E3F3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entury Gothic" w:hAnsi="Century Gothic"/>
      <w:color w:val="1E3F33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